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Palliative Medicine SpR Study Day - Palliative Care for Seldom Heard Groups</w:t>
      </w:r>
    </w:p>
    <w:p w:rsidR="00000000" w:rsidDel="00000000" w:rsidP="00000000" w:rsidRDefault="00000000" w:rsidRPr="00000000" w14:paraId="00000002">
      <w:pPr>
        <w:jc w:val="center"/>
        <w:rPr>
          <w:b w:val="1"/>
        </w:rPr>
      </w:pPr>
      <w:r w:rsidDel="00000000" w:rsidR="00000000" w:rsidRPr="00000000">
        <w:rPr>
          <w:b w:val="1"/>
          <w:rtl w:val="0"/>
        </w:rPr>
        <w:t xml:space="preserve">Wednesday 9th June 0930 to 1600</w:t>
      </w:r>
    </w:p>
    <w:p w:rsidR="00000000" w:rsidDel="00000000" w:rsidP="00000000" w:rsidRDefault="00000000" w:rsidRPr="00000000" w14:paraId="00000003">
      <w:pPr>
        <w:jc w:val="center"/>
        <w:rPr>
          <w:b w:val="1"/>
        </w:rPr>
      </w:pPr>
      <w:r w:rsidDel="00000000" w:rsidR="00000000" w:rsidRPr="00000000">
        <w:rPr>
          <w:b w:val="1"/>
          <w:rtl w:val="0"/>
        </w:rPr>
        <w:t xml:space="preserve">Via MS Teams - </w:t>
      </w:r>
      <w:hyperlink r:id="rId7">
        <w:r w:rsidDel="00000000" w:rsidR="00000000" w:rsidRPr="00000000">
          <w:rPr>
            <w:b w:val="1"/>
            <w:color w:val="1155cc"/>
            <w:u w:val="single"/>
            <w:rtl w:val="0"/>
          </w:rPr>
          <w:t xml:space="preserve">Click here to join the meeting</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left="0" w:firstLine="0"/>
        <w:rPr>
          <w:b w:val="1"/>
        </w:rPr>
      </w:pPr>
      <w:r w:rsidDel="00000000" w:rsidR="00000000" w:rsidRPr="00000000">
        <w:rPr>
          <w:b w:val="1"/>
          <w:rtl w:val="0"/>
        </w:rPr>
        <w:t xml:space="preserve">Curriculum items</w:t>
      </w:r>
    </w:p>
    <w:p w:rsidR="00000000" w:rsidDel="00000000" w:rsidP="00000000" w:rsidRDefault="00000000" w:rsidRPr="00000000" w14:paraId="00000006">
      <w:pPr>
        <w:ind w:left="540" w:hanging="540"/>
        <w:rPr/>
      </w:pPr>
      <w:r w:rsidDel="00000000" w:rsidR="00000000" w:rsidRPr="00000000">
        <w:rPr>
          <w:rtl w:val="0"/>
        </w:rPr>
        <w:t xml:space="preserve">1.2 Adopt an approach to eliminate discrimination against patients from diverse backgrounds including age, gender, race, culture, disability and sexuality</w:t>
      </w:r>
    </w:p>
    <w:p w:rsidR="00000000" w:rsidDel="00000000" w:rsidP="00000000" w:rsidRDefault="00000000" w:rsidRPr="00000000" w14:paraId="00000007">
      <w:pPr>
        <w:ind w:left="540" w:hanging="540"/>
        <w:rPr/>
      </w:pPr>
      <w:r w:rsidDel="00000000" w:rsidR="00000000" w:rsidRPr="00000000">
        <w:rPr>
          <w:rtl w:val="0"/>
        </w:rPr>
        <w:t xml:space="preserve">3.1 Outline health needs of particular populations eg adolescents / young adults, ethnic minorities and recognise the impact of health beliefs, culture and ethnicity in presentations of physical and psychological conditions</w:t>
      </w:r>
    </w:p>
    <w:p w:rsidR="00000000" w:rsidDel="00000000" w:rsidP="00000000" w:rsidRDefault="00000000" w:rsidRPr="00000000" w14:paraId="00000008">
      <w:pPr>
        <w:widowControl w:val="0"/>
        <w:spacing w:after="0" w:line="240" w:lineRule="auto"/>
        <w:ind w:left="540" w:hanging="540"/>
        <w:rPr/>
      </w:pPr>
      <w:r w:rsidDel="00000000" w:rsidR="00000000" w:rsidRPr="00000000">
        <w:rPr>
          <w:rtl w:val="0"/>
        </w:rPr>
        <w:t xml:space="preserve">12.5 Recognise how health systems can discriminate against patients from diverse backgrounds, and how to work to minimise this discrimination</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rtl w:val="0"/>
        </w:rPr>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2880"/>
        <w:gridCol w:w="4470"/>
        <w:tblGridChange w:id="0">
          <w:tblGrid>
            <w:gridCol w:w="1665"/>
            <w:gridCol w:w="2880"/>
            <w:gridCol w:w="44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Time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Topic and Speaker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Curriculum Items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rPr/>
            </w:pPr>
            <w:r w:rsidDel="00000000" w:rsidR="00000000" w:rsidRPr="00000000">
              <w:rPr>
                <w:rtl w:val="0"/>
              </w:rPr>
              <w:t xml:space="preserve">09:30 - 10:00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Sector meet-up  with sector leads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1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rPr/>
            </w:pPr>
            <w:r w:rsidDel="00000000" w:rsidR="00000000" w:rsidRPr="00000000">
              <w:rPr>
                <w:rtl w:val="0"/>
              </w:rPr>
              <w:t xml:space="preserve">10.00 - 11.00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Palliative care for people with learning disabilities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Professor </w:t>
            </w:r>
            <w:r w:rsidDel="00000000" w:rsidR="00000000" w:rsidRPr="00000000">
              <w:rPr>
                <w:rtl w:val="0"/>
              </w:rPr>
              <w:t xml:space="preserve">Irene Tuffrey-Wijne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3.3 Recognise common communication problems: deafness, expression and learning disabilities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4.2 Know about responses and needs of children and adults with learning difficulties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49.81526692708337" w:hRule="atLeast"/>
        </w:trPr>
        <w:tc>
          <w:tcPr>
            <w:gridSpan w:val="3"/>
            <w:shd w:fill="b7b7b7" w:val="clear"/>
            <w:tcMar>
              <w:top w:w="100.0" w:type="dxa"/>
              <w:left w:w="100.0" w:type="dxa"/>
              <w:bottom w:w="100.0" w:type="dxa"/>
              <w:right w:w="100.0" w:type="dxa"/>
            </w:tcMar>
            <w:vAlign w:val="top"/>
          </w:tcPr>
          <w:p w:rsidR="00000000" w:rsidDel="00000000" w:rsidP="00000000" w:rsidRDefault="00000000" w:rsidRPr="00000000" w14:paraId="0000001B">
            <w:pPr>
              <w:jc w:val="center"/>
              <w:rPr/>
            </w:pPr>
            <w:r w:rsidDel="00000000" w:rsidR="00000000" w:rsidRPr="00000000">
              <w:rPr>
                <w:rtl w:val="0"/>
              </w:rPr>
              <w:t xml:space="preserve">15 min break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rPr/>
            </w:pPr>
            <w:r w:rsidDel="00000000" w:rsidR="00000000" w:rsidRPr="00000000">
              <w:rPr>
                <w:rtl w:val="0"/>
              </w:rPr>
              <w:t xml:space="preserve">11.15 - 12.15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Compassionate communities - a public health approach to palliative and end of life care</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Professor Allan Kellehear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2.15 Relationship between the health of an individual, their family and community; Identify opportunities to promote understanding of and improve access to palliative care.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Recognise the interaction between mental, physical and social factors in relation to health, illness and bereavement</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3"/>
            <w:shd w:fill="b7b7b7" w:val="clear"/>
            <w:tcMar>
              <w:top w:w="100.0" w:type="dxa"/>
              <w:left w:w="100.0" w:type="dxa"/>
              <w:bottom w:w="100.0" w:type="dxa"/>
              <w:right w:w="100.0" w:type="dxa"/>
            </w:tcMar>
            <w:vAlign w:val="top"/>
          </w:tcPr>
          <w:p w:rsidR="00000000" w:rsidDel="00000000" w:rsidP="00000000" w:rsidRDefault="00000000" w:rsidRPr="00000000" w14:paraId="00000026">
            <w:pPr>
              <w:jc w:val="center"/>
              <w:rPr/>
            </w:pPr>
            <w:r w:rsidDel="00000000" w:rsidR="00000000" w:rsidRPr="00000000">
              <w:rPr>
                <w:rtl w:val="0"/>
              </w:rPr>
              <w:t xml:space="preserve">45 mins lunch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rPr/>
            </w:pPr>
            <w:r w:rsidDel="00000000" w:rsidR="00000000" w:rsidRPr="00000000">
              <w:rPr>
                <w:rtl w:val="0"/>
              </w:rPr>
              <w:t xml:space="preserve">13.00 – 14.00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Palliative care for teenagers and young adults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 Finella Craig</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rPr/>
            </w:pPr>
            <w:bookmarkStart w:colFirst="0" w:colLast="0" w:name="_heading=h.bnn8o571m55f" w:id="0"/>
            <w:bookmarkEnd w:id="0"/>
            <w:r w:rsidDel="00000000" w:rsidR="00000000" w:rsidRPr="00000000">
              <w:rPr>
                <w:rtl w:val="0"/>
              </w:rPr>
              <w:t xml:space="preserve">1.1 Recognise the principles of transition of care for teenagers and young adults between paediatric and adult palliative care services including knowledge of the differences between adult and children’s hospices and the conditions they usually care for</w:t>
            </w:r>
          </w:p>
          <w:p w:rsidR="00000000" w:rsidDel="00000000" w:rsidP="00000000" w:rsidRDefault="00000000" w:rsidRPr="00000000" w14:paraId="00000030">
            <w:pPr>
              <w:rPr/>
            </w:pPr>
            <w:bookmarkStart w:colFirst="0" w:colLast="0" w:name="_heading=h.f74qlzl7fs3u" w:id="1"/>
            <w:bookmarkEnd w:id="1"/>
            <w:r w:rsidDel="00000000" w:rsidR="00000000" w:rsidRPr="00000000">
              <w:rPr>
                <w:rtl w:val="0"/>
              </w:rPr>
              <w:t xml:space="preserve">2.4 Know about the presentation, usual course and current management of common, life limiting, progressive illnesses in teenagers and young adults treated within paediatric palliative care who are likely to need adult palliative care services, such as Duchenne Muscular Dystrophy, Cystic Fibrosis</w:t>
            </w:r>
          </w:p>
          <w:p w:rsidR="00000000" w:rsidDel="00000000" w:rsidP="00000000" w:rsidRDefault="00000000" w:rsidRPr="00000000" w14:paraId="00000031">
            <w:pPr>
              <w:rPr/>
            </w:pPr>
            <w:bookmarkStart w:colFirst="0" w:colLast="0" w:name="_heading=h.yvpah9i40d1d" w:id="2"/>
            <w:bookmarkEnd w:id="2"/>
            <w:r w:rsidDel="00000000" w:rsidR="00000000" w:rsidRPr="00000000">
              <w:rPr>
                <w:rtl w:val="0"/>
              </w:rPr>
              <w:t xml:space="preserve">2.19 Understand the experience of adolescents and young adults with long term conditions and/or disability diagnosed in childhood requiring transition into adult services and the potential implications on psychological, social and educational/vocational development (including awareness of the Disability Discrimination Act) and how developmental stage may impact on self management</w:t>
            </w:r>
          </w:p>
          <w:p w:rsidR="00000000" w:rsidDel="00000000" w:rsidP="00000000" w:rsidRDefault="00000000" w:rsidRPr="00000000" w14:paraId="00000032">
            <w:pPr>
              <w:rPr/>
            </w:pPr>
            <w:bookmarkStart w:colFirst="0" w:colLast="0" w:name="_heading=h.3eq0y4yokqow" w:id="3"/>
            <w:bookmarkEnd w:id="3"/>
            <w:r w:rsidDel="00000000" w:rsidR="00000000" w:rsidRPr="00000000">
              <w:rPr>
                <w:rtl w:val="0"/>
              </w:rPr>
              <w:t xml:space="preserve">3.2 Understand the importance of the developmental stage when communicating with adolescents and young adults</w:t>
            </w:r>
            <w:r w:rsidDel="00000000" w:rsidR="00000000" w:rsidRPr="00000000">
              <w:rPr>
                <w:rtl w:val="0"/>
              </w:rPr>
            </w:r>
          </w:p>
        </w:tc>
      </w:tr>
      <w:tr>
        <w:trPr>
          <w:trHeight w:val="434.81526692708337" w:hRule="atLeast"/>
        </w:trPr>
        <w:tc>
          <w:tcPr>
            <w:gridSpan w:val="3"/>
            <w:shd w:fill="b7b7b7" w:val="clear"/>
            <w:tcMar>
              <w:top w:w="100.0" w:type="dxa"/>
              <w:left w:w="100.0" w:type="dxa"/>
              <w:bottom w:w="100.0" w:type="dxa"/>
              <w:right w:w="100.0" w:type="dxa"/>
            </w:tcMar>
            <w:vAlign w:val="top"/>
          </w:tcPr>
          <w:p w:rsidR="00000000" w:rsidDel="00000000" w:rsidP="00000000" w:rsidRDefault="00000000" w:rsidRPr="00000000" w14:paraId="00000033">
            <w:pPr>
              <w:jc w:val="center"/>
              <w:rPr/>
            </w:pPr>
            <w:r w:rsidDel="00000000" w:rsidR="00000000" w:rsidRPr="00000000">
              <w:rPr>
                <w:rtl w:val="0"/>
              </w:rPr>
              <w:t xml:space="preserve">15 mins break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rPr/>
            </w:pPr>
            <w:r w:rsidDel="00000000" w:rsidR="00000000" w:rsidRPr="00000000">
              <w:rPr>
                <w:rtl w:val="0"/>
              </w:rPr>
              <w:t xml:space="preserve">14.15 – 15.15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rPr/>
            </w:pPr>
            <w:r w:rsidDel="00000000" w:rsidR="00000000" w:rsidRPr="00000000">
              <w:rPr>
                <w:rtl w:val="0"/>
              </w:rPr>
              <w:t xml:space="preserve">Palliative care for people who are homeless</w:t>
            </w:r>
          </w:p>
          <w:p w:rsidR="00000000" w:rsidDel="00000000" w:rsidP="00000000" w:rsidRDefault="00000000" w:rsidRPr="00000000" w14:paraId="00000038">
            <w:pPr>
              <w:rPr/>
            </w:pPr>
            <w:r w:rsidDel="00000000" w:rsidR="00000000" w:rsidRPr="00000000">
              <w:rPr>
                <w:rtl w:val="0"/>
              </w:rPr>
              <w:t xml:space="preserve">Dr Caroline Shulman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rPr/>
            </w:pPr>
            <w:r w:rsidDel="00000000" w:rsidR="00000000" w:rsidRPr="00000000">
              <w:rPr>
                <w:rtl w:val="0"/>
              </w:rPr>
              <w:t xml:space="preserve">4.1 </w:t>
            </w:r>
            <w:r w:rsidDel="00000000" w:rsidR="00000000" w:rsidRPr="00000000">
              <w:rPr>
                <w:rtl w:val="0"/>
              </w:rPr>
              <w:t xml:space="preserve">Provide palliative care in relation to the homeless and those in custody</w:t>
            </w:r>
            <w:r w:rsidDel="00000000" w:rsidR="00000000" w:rsidRPr="00000000">
              <w:rPr>
                <w:rtl w:val="0"/>
              </w:rPr>
            </w:r>
          </w:p>
        </w:tc>
      </w:tr>
      <w:tr>
        <w:trPr>
          <w:trHeight w:val="299.81526692708337" w:hRule="atLeast"/>
        </w:trPr>
        <w:tc>
          <w:tcPr>
            <w:gridSpan w:val="3"/>
            <w:shd w:fill="b7b7b7" w:val="clear"/>
            <w:tcMar>
              <w:top w:w="100.0" w:type="dxa"/>
              <w:left w:w="100.0" w:type="dxa"/>
              <w:bottom w:w="100.0" w:type="dxa"/>
              <w:right w:w="100.0" w:type="dxa"/>
            </w:tcMar>
            <w:vAlign w:val="top"/>
          </w:tcPr>
          <w:p w:rsidR="00000000" w:rsidDel="00000000" w:rsidP="00000000" w:rsidRDefault="00000000" w:rsidRPr="00000000" w14:paraId="0000003A">
            <w:pPr>
              <w:jc w:val="center"/>
              <w:rPr/>
            </w:pPr>
            <w:r w:rsidDel="00000000" w:rsidR="00000000" w:rsidRPr="00000000">
              <w:rPr>
                <w:rtl w:val="0"/>
              </w:rPr>
              <w:t xml:space="preserve">15 mins break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rPr/>
            </w:pPr>
            <w:r w:rsidDel="00000000" w:rsidR="00000000" w:rsidRPr="00000000">
              <w:rPr>
                <w:rtl w:val="0"/>
              </w:rPr>
              <w:t xml:space="preserve">15.30 – 16.00</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SCE tips</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Trainees - Dr Geoff Wells, Dr Anshuni Kaneria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2">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eams.microsoft.com/l/meetup-join/19%3ameeting_ZDljZjdlNjUtMTk5OC00YjM5LWE3MmItNjkyZTNkZDMwYmYy%40thread.v2/0?context=%7b%22Tid%22%3a%22e7537349-0769-45ca-abba-e72f63929eb4%22%2c%22Oid%22%3a%22c3e4f37a-3604-43f3-be02-7d52d8f4108d%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ofmct99tfItEsY71QWLgS+XO8w==">AMUW2mWcA7s61DDc0tHWNKUmy9rTt/ubdbYzzuJ0fO57+AhEib3upJVYxRDa4txbHDB+KEhZ5R66p5mX4q7WZUQ/gBQOA2CvzkH4SC2elSm8EV/c6S/YAT0NeD+C5fL3fvFYAhhlQpksm6T6K9bcjWV+JZPo3xLXFXiQO7fj4/FXFAymAK229qh8dRZ0yGiH9cgYIbHa10ie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2020-10-10T11:10:00Z</dcterms:created>
  <dc:creator>Christina Chu</dc:creator>
</cp:coreProperties>
</file>